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9.png" ContentType="image/png"/>
  <Override PartName="/word/media/rId46.png" ContentType="image/png"/>
  <Override PartName="/word/media/rId39.png" ContentType="image/png"/>
  <Override PartName="/word/media/rId32.png" ContentType="image/png"/>
  <Override PartName="/word/media/rId51.png" ContentType="image/png"/>
  <Override PartName="/word/media/rId55.png" ContentType="image/png"/>
  <Override PartName="/word/media/rId60.png" ContentType="image/png"/>
  <Override PartName="/word/media/rId6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and pigment content (Phycobiliprotein to Chl</w:t>
      </w:r>
      <w:r>
        <w:t xml:space="preserve"> </w:t>
      </w:r>
      <w:r>
        <w:rPr>
          <w:iCs/>
          <w:i/>
        </w:rPr>
        <w:t xml:space="preserve">a</w:t>
      </w:r>
      <w:r>
        <w:t xml:space="preserve"> </w:t>
      </w:r>
      <w:r>
        <w:t xml:space="preserve">ratio) across cumulative diel PAR. The PE-rich strains showed a much higher PUR/PAR ratio and Phycobiliprotein/Chl</w:t>
      </w:r>
      <w:r>
        <w:t xml:space="preserve"> </w:t>
      </w:r>
      <w:r>
        <w:rPr>
          <w:iCs/>
          <w:i/>
        </w:rPr>
        <w:t xml:space="preserve">a</w:t>
      </w:r>
      <w:r>
        <w:t xml:space="preserve"> </w:t>
      </w:r>
      <w:r>
        <w:t xml:space="preserve">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µmax 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Photosynthetically Active Radiation (PAR), photoperiod, and spectral quality, is a pivotal influence on the growth and productivity of phytoplankton within aquatic ecosystems. PAR refers to the spectral range of solar radiation, approximately 400-700 nm, that is capable of driving photosynthesis. Photosynthetically Usable Radiation (PUR), in turn, is the fraction of PAR of wavelengths that can be absorbed by particularly cyanobacteria or algae</w:t>
      </w:r>
      <w:r>
        <w:t xml:space="preserve"> </w:t>
      </w:r>
      <w:r>
        <w:t xml:space="preserve">(Morel 1978)</w:t>
      </w:r>
      <w:r>
        <w:t xml:space="preserve">. The PAR reaching a specific area, directly affects the physiology of cyanobacteria</w:t>
      </w:r>
      <w:r>
        <w:t xml:space="preserve"> </w:t>
      </w:r>
      <w:r>
        <w:t xml:space="preserve">(Śliwińska-Wilczewska et al. 2018, 2020; Aguilera et al. 2023)</w:t>
      </w:r>
      <w:r>
        <w:t xml:space="preserve">. Optimal PAR provide the energy for photosynthesis, and thus supports cyanobacteria growth and biomass production.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 Synechococcus biomass and community lineage composition within aquatic environments, relating to varying metabolic costs between physiological strategies. Therefore, the aim of this research was to determine whether photic regimes and growth phases affect both growth and light-capture, and to quantify the differences between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r>
        <w:t xml:space="preserve">We also estimated the number of picocyanobacterial cells over time using linear regression models based on the number of cells (cell mL</w:t>
      </w:r>
      <w:r>
        <w:rPr>
          <w:vertAlign w:val="superscript"/>
        </w:rPr>
        <w:t xml:space="preserve">−1</w:t>
      </w:r>
      <w:r>
        <w:t xml:space="preserve">), counted using ImageXpress Pico Digital microscopy and OD</w:t>
      </w:r>
      <w:r>
        <w:rPr>
          <w:vertAlign w:val="subscript"/>
        </w:rPr>
        <w:t xml:space="preserve">720</w:t>
      </w:r>
      <w:r>
        <w:t xml:space="preserve"> </w:t>
      </w:r>
      <w:r>
        <w:t xml:space="preserve">taken from the Multi-Cultivator system at the same time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Similarly, cumulative diel PUR was estimated using the same equations.</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(σPSII or σPSII′; nm2 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w:r>
        <w:rPr>
          <w:iCs/>
          <w:i/>
        </w:rPr>
        <w:t xml:space="preserve">JV</w:t>
      </w:r>
      <w:r>
        <w:rPr>
          <w:vertAlign w:val="subscript"/>
        </w:rPr>
        <w:t xml:space="preserve">PSII</w:t>
      </w:r>
      <w:r>
        <w:t xml:space="preserve"> </w:t>
      </w:r>
      <w:r>
        <w:t xml:space="preserve">=</w:t>
      </w:r>
      <w:r>
        <w:t xml:space="preserve"> </w:t>
      </w:r>
      <m:oMath>
        <m:r>
          <m:t>σ</m:t>
        </m:r>
      </m:oMath>
      <w:r>
        <w:rPr>
          <w:vertAlign w:val="subscript"/>
        </w:rPr>
        <w:t xml:space="preserve">PSII</w:t>
      </w:r>
      <w:r>
        <w:t xml:space="preserve">′ × qP × I ×</w:t>
      </w:r>
      <w:r>
        <w:t xml:space="preserve"> </w:t>
      </w:r>
      <w:r>
        <w:rPr>
          <w:iCs/>
          <w:i/>
        </w:rPr>
        <w:t xml:space="preserve">F</w:t>
      </w:r>
      <w:r>
        <w:rPr>
          <w:vertAlign w:val="subscript"/>
        </w:rPr>
        <w:t xml:space="preserve">O</w:t>
      </w:r>
      <w:r>
        <w:t xml:space="preserve">/</w:t>
      </w:r>
      <m:oMath>
        <m:r>
          <m:t>σ</m:t>
        </m:r>
      </m:oMath>
      <w:r>
        <w:rPr>
          <w:vertAlign w:val="subscript"/>
        </w:rPr>
        <w:t xml:space="preserve">PSII</w:t>
      </w:r>
    </w:p>
    <w:p>
      <w:pPr>
        <w:pStyle w:val="BodyText"/>
      </w:pPr>
      <m:oMathPara>
        <m:oMathParaPr>
          <m:jc m:val="center"/>
        </m:oMathParaPr>
        <m:oMath>
          <m:m>
            <m:mPr>
              <m:baseJc m:val="center"/>
              <m:plcHide m:val="1"/>
              <m:mcs>
                <m:mc>
                  <m:mcPr>
                    <m:mcJc m:val="right"/>
                    <m:count m:val="1"/>
                  </m:mcPr>
                </m:mc>
              </m:mcs>
            </m:mPr>
            <m:mr>
              <m:e>
                <m:r>
                  <m:t>J</m:t>
                </m:r>
                <m:r>
                  <m:t>V</m:t>
                </m:r>
                <m:r>
                  <m:t>P</m:t>
                </m:r>
                <m:r>
                  <m:t>S</m:t>
                </m:r>
                <m:r>
                  <m:t>I</m:t>
                </m:r>
                <m:r>
                  <m:t>I</m:t>
                </m:r>
                <m:r>
                  <m:rPr>
                    <m:sty m:val="p"/>
                  </m:rPr>
                  <m:t>=</m:t>
                </m:r>
                <m:f>
                  <m:fPr>
                    <m:type m:val="bar"/>
                  </m:fPr>
                  <m:num>
                    <m:sSub>
                      <m:e>
                        <m:r>
                          <m:t>σ</m:t>
                        </m:r>
                      </m:e>
                      <m:sub>
                        <m:d>
                          <m:dPr>
                            <m:begChr m:val="("/>
                            <m:endChr m:val=")"/>
                            <m:sepChr m:val=""/>
                            <m:grow/>
                          </m:dPr>
                          <m:e>
                            <m:r>
                              <m:t>P</m:t>
                            </m:r>
                            <m:r>
                              <m:t>S</m:t>
                            </m:r>
                            <m:r>
                              <m:t>I</m:t>
                            </m:r>
                            <m:r>
                              <m:t>I</m:t>
                            </m:r>
                          </m:e>
                        </m:d>
                      </m:sub>
                    </m:sSub>
                    <m:r>
                      <m:rPr>
                        <m:sty m:val="p"/>
                      </m:rPr>
                      <m:t>′</m:t>
                    </m:r>
                    <m:r>
                      <m:rPr>
                        <m:sty m:val="p"/>
                      </m:rPr>
                      <m:t>×</m:t>
                    </m:r>
                    <m:r>
                      <m:t>q</m:t>
                    </m:r>
                    <m:r>
                      <m:t>P</m:t>
                    </m:r>
                    <m:r>
                      <m:rPr>
                        <m:sty m:val="p"/>
                      </m:rPr>
                      <m:t>×</m:t>
                    </m:r>
                    <m:r>
                      <m:t>I</m:t>
                    </m:r>
                    <m:r>
                      <m:rPr>
                        <m:sty m:val="p"/>
                      </m:rPr>
                      <m:t>×</m:t>
                    </m:r>
                    <m:sSub>
                      <m:e>
                        <m:r>
                          <m:t>F</m:t>
                        </m:r>
                      </m:e>
                      <m:sub>
                        <m:r>
                          <m:t>O</m:t>
                        </m:r>
                      </m:sub>
                    </m:sSub>
                  </m:num>
                  <m:den>
                    <m:sSub>
                      <m:e>
                        <m:r>
                          <m:t>σ</m:t>
                        </m:r>
                      </m:e>
                      <m:sub>
                        <m:d>
                          <m:dPr>
                            <m:begChr m:val="("/>
                            <m:endChr m:val=")"/>
                            <m:sepChr m:val=""/>
                            <m:grow/>
                          </m:dPr>
                          <m:e>
                            <m:r>
                              <m:t>P</m:t>
                            </m:r>
                            <m:r>
                              <m:t>S</m:t>
                            </m:r>
                            <m:r>
                              <m:t>I</m:t>
                            </m:r>
                            <m:r>
                              <m:t>I</m:t>
                            </m:r>
                          </m:e>
                        </m:d>
                      </m:sub>
                    </m:sSub>
                  </m:den>
                </m:f>
                <m:r>
                  <m:t>  </m:t>
                </m:r>
                <m:d>
                  <m:dPr>
                    <m:begChr m:val="("/>
                    <m:endChr m:val=")"/>
                    <m:sepChr m:val=""/>
                    <m:grow/>
                  </m:dPr>
                  <m:e>
                    <m:r>
                      <m:t>4</m:t>
                    </m:r>
                  </m:e>
                </m:d>
              </m:e>
            </m:mr>
          </m:m>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w:t>
      </w:r>
    </w:p>
    <w:p>
      <w:pPr>
        <w:pStyle w:val="CaptionedFigure"/>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0,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measured using blue LED (Ex</w:t>
      </w:r>
      <w:r>
        <w:rPr>
          <w:vertAlign w:val="subscript"/>
        </w:rPr>
        <w:t xml:space="preserve">445nm</w:t>
      </w:r>
      <w:r>
        <w:t xml:space="preserve">) or orange (Ex</w:t>
      </w:r>
      <w:r>
        <w:rPr>
          <w:vertAlign w:val="subscript"/>
        </w:rPr>
        <w:t xml:space="preserve">590nm</w:t>
      </w:r>
      <w:r>
        <w:t xml:space="preserve">)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shows a rapid light curve (RLC), estimated with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(Harrison and Platt 1986)</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and cumulative diel PAR (Table S3, Sxxx), PUR/PAR ratio vs. cumulative diel PAR (Table S6), Phycobiliprotein to Chl</w:t>
      </w:r>
      <w:r>
        <w:t xml:space="preserve"> </w:t>
      </w:r>
      <w:r>
        <w:rPr>
          <w:iCs/>
          <w:i/>
        </w:rPr>
        <w:t xml:space="preserve">a</w:t>
      </w:r>
      <w:r>
        <w:t xml:space="preserve"> </w:t>
      </w:r>
      <w:r>
        <w:t xml:space="preserve">ratio vs. cumulative diel PAR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PAR and PUR or 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ʹ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(Handel 2020)</w:t>
      </w:r>
      <w:r>
        <w:t xml:space="preserve">. Figures were plotted using</w:t>
      </w:r>
      <w:r>
        <w:t xml:space="preserve"> </w:t>
      </w:r>
      <w:r>
        <w:t xml:space="preserve">“</w:t>
      </w:r>
      <w:r>
        <w:t xml:space="preserve">ggplot</w:t>
      </w:r>
      <w:r>
        <w:t xml:space="preserve">”</w:t>
      </w:r>
      <w:r>
        <w:t xml:space="preserve"> </w:t>
      </w:r>
      <w:r>
        <w:t xml:space="preserve">(Wickham 2016)</w:t>
      </w:r>
      <w:r>
        <w:t xml:space="preserve"> </w:t>
      </w:r>
      <w:r>
        <w:t xml:space="preserve">R package.</w:t>
      </w:r>
    </w:p>
    <w:bookmarkEnd w:id="44"/>
    <w:bookmarkEnd w:id="45"/>
    <w:bookmarkStart w:id="74"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We used logistic curve fits to determine chlorophyll-specific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4</w:t>
      </w:r>
      <w:r>
        <w:t xml:space="preserve">).</w:t>
      </w:r>
    </w:p>
    <w:p>
      <w:pPr>
        <w:pStyle w:val="BodyText"/>
      </w:pPr>
      <w:r>
        <w:t xml:space="preserve">Three-way factorial ANOVA showed that peak PAR, photoperiod, and strain, and their interactions, significantly affected μ (ANOVA,</w:t>
      </w:r>
      <w:r>
        <w:t xml:space="preserve"> </w:t>
      </w:r>
      <w:r>
        <w:rPr>
          <w:iCs/>
          <w:i/>
        </w:rPr>
        <w:t xml:space="preserve">p</w:t>
      </w:r>
      <w:r>
        <w:t xml:space="preserve"> </w:t>
      </w:r>
      <w:r>
        <w:t xml:space="preserve">&lt; 0.05 for all; Table S3).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model fit of</w:t>
      </w:r>
      <w:r>
        <w:t xml:space="preserve"> </w:t>
      </w:r>
      <w:r>
        <w:t xml:space="preserve">(Harrison and Platt 1986)</w:t>
      </w:r>
      <w:r>
        <w:t xml:space="preserve"> </w:t>
      </w:r>
      <w:r>
        <w:t xml:space="preserve">vs. cumulative diel photon dose for two PC-rich and two PE-rich cultures of</w:t>
      </w:r>
      <w:r>
        <w:t xml:space="preserve"> </w:t>
      </w:r>
      <w:r>
        <w:rPr>
          <w:iCs/>
          <w:i/>
        </w:rPr>
        <w:t xml:space="preserve">Synechococcus</w:t>
      </w:r>
      <w:r>
        <w:t xml:space="preserve"> </w:t>
      </w:r>
      <w:r>
        <w:t xml:space="preserve">sp. showed significant differences between model fits of the pooled data, vs. models fit for different photoperiods (8, 12, 16, or 24 h; ANOVA,</w:t>
      </w:r>
      <w:r>
        <w:t xml:space="preserve"> </w:t>
      </w:r>
      <w:r>
        <w:rPr>
          <w:iCs/>
          <w:i/>
        </w:rPr>
        <w:t xml:space="preserve">p</w:t>
      </w:r>
      <w:r>
        <w:t xml:space="preserve"> </w:t>
      </w:r>
      <w:r>
        <w:t xml:space="preserve">&lt; 0.05, Table S4 in Supplemental material).</w:t>
      </w:r>
    </w:p>
    <w:p>
      <w:pPr>
        <w:pStyle w:val="BodyText"/>
      </w:pPr>
      <w:r>
        <w:t xml:space="preserve">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9" w:name="X4ef586583a04648116dc5cdbee1ab45f97c81e0"/>
    <w:p>
      <w:pPr>
        <w:pStyle w:val="Heading2"/>
      </w:pPr>
      <w:r>
        <w:t xml:space="preserve">Decreasing PUR/PAR ratio and Phycobiliprotein to Chl</w:t>
      </w:r>
      <w:r>
        <w:t xml:space="preserve"> </w:t>
      </w:r>
      <w:r>
        <w:rPr>
          <w:iCs/>
          <w:i/>
        </w:rPr>
        <w:t xml:space="preserve">a</w:t>
      </w:r>
      <w:r>
        <w:t xml:space="preserve"> </w:t>
      </w:r>
      <w:r>
        <w:t xml:space="preserve">ratio with increasing cumulative diel PAR</w:t>
      </w:r>
    </w:p>
    <w:p>
      <w:pPr>
        <w:pStyle w:val="FirstParagraph"/>
      </w:pPr>
      <w:r>
        <w:t xml:space="preserve">The PUR/PAR ratio is an index of the efficacy of light capture for a culture under a given growth condition; showing the fraction of PAR captured by the absorbance of the cells. For the two PC-rich and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Table S7), except the model fits from PE-rich_048 and PE-rich_127 (ANOVA,</w:t>
      </w:r>
      <w:r>
        <w:t xml:space="preserve"> </w:t>
      </w:r>
      <w:r>
        <w:rPr>
          <w:iCs/>
          <w:i/>
        </w:rPr>
        <w:t xml:space="preserve">p</w:t>
      </w:r>
      <w:r>
        <w:t xml:space="preserve"> </w:t>
      </w:r>
      <w:r>
        <w:t xml:space="preserve">&gt; 0.05).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dampens(ANOVA, p &gt; 0.05, Table S7). Model fits from different phases of growth differed within a given strain, with the exception of PC-rich_056 (ANOVA; p &lt; 0.05, Table S7).</w:t>
      </w:r>
    </w:p>
    <w:p>
      <w:pPr>
        <w:pStyle w:val="BodyText"/>
      </w:pP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PAR. The ratio of PUR/PAR decayed exponentially in relation to cumulative diel PAR,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PAR during their exponential phase of growth; however, decay towards a plateau close to the PC-rich strains as cumulative diel PAR increases.</w:t>
      </w:r>
    </w:p>
    <w:p>
      <w:pPr>
        <w:pStyle w:val="CaptionedFigure"/>
      </w:pPr>
      <w:r>
        <w:drawing>
          <wp:inline>
            <wp:extent cx="5943600" cy="7641771"/>
            <wp:effectExtent b="0" l="0" r="0" t="0"/>
            <wp:docPr descr="Figure 5: Changes of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6: Changes of total Phyco/Chl a ratio vs. cumulative diel PAR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9"/>
    <w:bookmarkStart w:id="68" w:name="Xb555db924db9fdd975ae8b445b7267d35d0552f"/>
    <w:p>
      <w:pPr>
        <w:pStyle w:val="Heading2"/>
      </w:pPr>
      <w:r>
        <w:t xml:space="preserve">Decreasing effective absorption cross section of PSII with increasing cumulative diel PAR</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p>
      <w:pPr>
        <w:pStyle w:val="BodyTex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AR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Sigma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590"/>
      <w:bookmarkEnd w:id="63"/>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8: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Fig_SigmaPig590.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Pig590"/>
      <w:bookmarkEnd w:id="67"/>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8"/>
    <w:bookmarkStart w:id="73" w:name="changes-in-psii-flux"/>
    <w:p>
      <w:pPr>
        <w:pStyle w:val="Heading2"/>
      </w:pPr>
      <w:r>
        <w:t xml:space="preserve">Changes in PSII flux</w:t>
      </w:r>
    </w:p>
    <w:p>
      <w:pPr>
        <w:pStyle w:val="CaptionedFigure"/>
      </w:pPr>
      <w:r>
        <w:drawing>
          <wp:inline>
            <wp:extent cx="5943600" cy="7641771"/>
            <wp:effectExtent b="0" l="0" r="0" t="0"/>
            <wp:docPr descr="Figure 9: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only when they were significantly different (ANOVA, p &lt; 0.05) from the fit of pooled data." title="" id="70" name="Picture"/>
            <a:graphic>
              <a:graphicData uri="http://schemas.openxmlformats.org/drawingml/2006/picture">
                <pic:pic>
                  <pic:nvPicPr>
                    <pic:cNvPr descr="../Output/Figures/Fig_GrowthRate_JVPSII_Photoperiod.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GrowthRateJVPSII"/>
      <w:bookmarkEnd w:id="72"/>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73"/>
    <w:bookmarkEnd w:id="74"/>
    <w:bookmarkStart w:id="83" w:name="discussion"/>
    <w:p>
      <w:pPr>
        <w:pStyle w:val="Heading1"/>
      </w:pPr>
      <w:r>
        <w:t xml:space="preserve">Discussion</w:t>
      </w:r>
    </w:p>
    <w:p>
      <w:pPr>
        <w:pStyle w:val="FirstParagraph"/>
      </w:pPr>
      <w:r>
        <w:t xml:space="preserve">growth rate:</w:t>
      </w:r>
      <w:r>
        <w:t xml:space="preserve"> </w:t>
      </w: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bookmarkStart w:id="78" w:name="X174294fdbd43bc163baa03fda2d0bed26ef4b1f"/>
    <w:p>
      <w:pPr>
        <w:pStyle w:val="Heading2"/>
      </w:pPr>
      <w:r>
        <w:t xml:space="preserve">Photic regime significance for picocyanobacteria growth</w:t>
      </w:r>
    </w:p>
    <w:bookmarkStart w:id="75"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5"/>
    <w:bookmarkStart w:id="76"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6"/>
    <w:bookmarkStart w:id="77"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7"/>
    <w:bookmarkEnd w:id="78"/>
    <w:bookmarkStart w:id="82" w:name="X3692c8cc7c5ea30a35794d7dc55cce4460b76da"/>
    <w:p>
      <w:pPr>
        <w:pStyle w:val="Heading2"/>
      </w:pPr>
      <w:r>
        <w:t xml:space="preserve">Photic regime and and growth phases significance for picocyanobacteria light-capture</w:t>
      </w:r>
    </w:p>
    <w:bookmarkStart w:id="79"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9"/>
    <w:bookmarkStart w:id="80"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0"/>
    <w:bookmarkStart w:id="81" w:name="X896ba70f6fcf7bd55c489fa1895b9327cad180d"/>
    <w:p>
      <w:pPr>
        <w:pStyle w:val="Heading3"/>
      </w:pPr>
      <w:r>
        <w:t xml:space="preserve">Effective absorption cross section of PSII and PSII flux per unit volume</w:t>
      </w:r>
    </w:p>
    <w:bookmarkEnd w:id="81"/>
    <w:bookmarkEnd w:id="82"/>
    <w:bookmarkEnd w:id="83"/>
    <w:bookmarkStart w:id="84"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4"/>
    <w:bookmarkStart w:id="85"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5"/>
    <w:bookmarkStart w:id="86"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6"/>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7">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8">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9">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0">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1" w:name="Xd25aad00de3ab5b51f7b98d6e77e13a4c00f459"/>
    <w:p>
      <w:pPr>
        <w:pStyle w:val="Heading2"/>
      </w:pPr>
      <w:r>
        <w:rPr>
          <w:rStyle w:val="SectionNumber"/>
        </w:rPr>
        <w:t xml:space="preserve">0.1</w:t>
      </w:r>
      <w:r>
        <w:tab/>
      </w:r>
      <w:r>
        <w:t xml:space="preserve">The linear fits also vary significantly among strains.</w:t>
      </w:r>
    </w:p>
    <w:bookmarkEnd w:id="91"/>
    <w:bookmarkEnd w:id="92"/>
    <w:bookmarkStart w:id="194" w:name="references"/>
    <w:p>
      <w:pPr>
        <w:pStyle w:val="Heading1"/>
      </w:pPr>
      <w:r>
        <w:t xml:space="preserve">References</w:t>
      </w:r>
    </w:p>
    <w:bookmarkStart w:id="193"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7"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6">
        <w:r>
          <w:rPr>
            <w:rStyle w:val="Hyperlink"/>
          </w:rPr>
          <w:t xml:space="preserve">10.3389/fmars.2019.00319</w:t>
        </w:r>
      </w:hyperlink>
    </w:p>
    <w:bookmarkEnd w:id="107"/>
    <w:bookmarkStart w:id="108"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1">
        <w:r>
          <w:rPr>
            <w:rStyle w:val="Hyperlink"/>
          </w:rPr>
          <w:t xml:space="preserve">10.1111/nph.17903</w:t>
        </w:r>
      </w:hyperlink>
    </w:p>
    <w:bookmarkEnd w:id="112"/>
    <w:bookmarkStart w:id="114"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3">
        <w:r>
          <w:rPr>
            <w:rStyle w:val="Hyperlink"/>
          </w:rPr>
          <w:t xml:space="preserve">10.4319/lo.1999.44.1.0052</w:t>
        </w:r>
      </w:hyperlink>
    </w:p>
    <w:bookmarkEnd w:id="114"/>
    <w:bookmarkStart w:id="116"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5">
        <w:r>
          <w:rPr>
            <w:rStyle w:val="Hyperlink"/>
          </w:rPr>
          <w:t xml:space="preserve">10.1007/s10812-020-00944-0</w:t>
        </w:r>
      </w:hyperlink>
    </w:p>
    <w:bookmarkEnd w:id="116"/>
    <w:bookmarkStart w:id="118"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7">
        <w:r>
          <w:rPr>
            <w:rStyle w:val="Hyperlink"/>
          </w:rPr>
          <w:t xml:space="preserve">10.1186/gb-2008-9-5-r90</w:t>
        </w:r>
      </w:hyperlink>
    </w:p>
    <w:bookmarkEnd w:id="118"/>
    <w:bookmarkStart w:id="11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21">
        <w:r>
          <w:rPr>
            <w:rStyle w:val="Hyperlink"/>
          </w:rPr>
          <w:t xml:space="preserve">10.1126/science.290.5490.291</w:t>
        </w:r>
      </w:hyperlink>
    </w:p>
    <w:bookmarkEnd w:id="122"/>
    <w:bookmarkStart w:id="124"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3">
        <w:r>
          <w:rPr>
            <w:rStyle w:val="Hyperlink"/>
          </w:rPr>
          <w:t xml:space="preserve">10.1126/science.281.5374.237</w:t>
        </w:r>
      </w:hyperlink>
    </w:p>
    <w:bookmarkEnd w:id="124"/>
    <w:bookmarkStart w:id="126"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5">
        <w:r>
          <w:rPr>
            <w:rStyle w:val="Hyperlink"/>
          </w:rPr>
          <w:t xml:space="preserve">10.1017/S0025315406014287</w:t>
        </w:r>
      </w:hyperlink>
    </w:p>
    <w:bookmarkEnd w:id="126"/>
    <w:bookmarkStart w:id="128"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7">
        <w:r>
          <w:rPr>
            <w:rStyle w:val="Hyperlink"/>
          </w:rPr>
          <w:t xml:space="preserve">10.1073/pnas.1307701110</w:t>
        </w:r>
      </w:hyperlink>
    </w:p>
    <w:bookmarkEnd w:id="128"/>
    <w:bookmarkStart w:id="130" w:name="Xd7d6b0bcb60aabcb149933a8690177800745aff"/>
    <w:p>
      <w:pPr>
        <w:pStyle w:val="Bibliography"/>
      </w:pPr>
      <w:r>
        <w:t xml:space="preserve">Guillard, R. R. L. 1975.</w:t>
      </w:r>
      <w:r>
        <w:t xml:space="preserve"> </w:t>
      </w:r>
      <w:hyperlink r:id="rId129">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0"/>
    <w:bookmarkStart w:id="13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1"/>
    <w:bookmarkStart w:id="13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2"/>
    <w:bookmarkStart w:id="13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3">
        <w:r>
          <w:rPr>
            <w:rStyle w:val="Hyperlink"/>
          </w:rPr>
          <w:t xml:space="preserve">10.1038/ismej.2008.118</w:t>
        </w:r>
      </w:hyperlink>
    </w:p>
    <w:bookmarkEnd w:id="134"/>
    <w:bookmarkStart w:id="13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5">
        <w:r>
          <w:rPr>
            <w:rStyle w:val="Hyperlink"/>
          </w:rPr>
          <w:t xml:space="preserve">10.5194/bg-8-311-2011</w:t>
        </w:r>
      </w:hyperlink>
    </w:p>
    <w:bookmarkEnd w:id="136"/>
    <w:bookmarkStart w:id="13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7">
        <w:r>
          <w:rPr>
            <w:rStyle w:val="Hyperlink"/>
          </w:rPr>
          <w:t xml:space="preserve">10.1038/s41559-020-01330-x</w:t>
        </w:r>
      </w:hyperlink>
    </w:p>
    <w:bookmarkEnd w:id="138"/>
    <w:bookmarkStart w:id="140"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9">
        <w:r>
          <w:rPr>
            <w:rStyle w:val="Hyperlink"/>
          </w:rPr>
          <w:t xml:space="preserve">10.1086/338511</w:t>
        </w:r>
      </w:hyperlink>
    </w:p>
    <w:bookmarkEnd w:id="140"/>
    <w:bookmarkStart w:id="142"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1">
        <w:r>
          <w:rPr>
            <w:rStyle w:val="Hyperlink"/>
          </w:rPr>
          <w:t xml:space="preserve">10.1038/nclimate3147</w:t>
        </w:r>
      </w:hyperlink>
    </w:p>
    <w:bookmarkEnd w:id="142"/>
    <w:bookmarkStart w:id="14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3">
        <w:r>
          <w:rPr>
            <w:rStyle w:val="Hyperlink"/>
          </w:rPr>
          <w:t xml:space="preserve">10.1016/j.jphotobiol.2005.10.002</w:t>
        </w:r>
      </w:hyperlink>
    </w:p>
    <w:bookmarkEnd w:id="144"/>
    <w:bookmarkStart w:id="145"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5"/>
    <w:bookmarkStart w:id="147"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6">
        <w:r>
          <w:rPr>
            <w:rStyle w:val="Hyperlink"/>
          </w:rPr>
          <w:t xml:space="preserve">10.1016/S0005-2728(98)00135-2</w:t>
        </w:r>
      </w:hyperlink>
    </w:p>
    <w:bookmarkEnd w:id="147"/>
    <w:bookmarkStart w:id="149" w:name="X0484b3dfebfaa14160c541e1fe2290095bae149"/>
    <w:p>
      <w:pPr>
        <w:pStyle w:val="Bibliography"/>
      </w:pPr>
      <w:r>
        <w:t xml:space="preserve">LaRoche, J., and B. M. Robicheau. 2022.</w:t>
      </w:r>
      <w:r>
        <w:t xml:space="preserve"> </w:t>
      </w:r>
      <w:hyperlink r:id="rId14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9"/>
    <w:bookmarkStart w:id="15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0">
        <w:r>
          <w:rPr>
            <w:rStyle w:val="Hyperlink"/>
          </w:rPr>
          <w:t xml:space="preserve">10.1093/plankt/fbv008</w:t>
        </w:r>
      </w:hyperlink>
    </w:p>
    <w:bookmarkEnd w:id="151"/>
    <w:bookmarkStart w:id="153" w:name="X1fa63fd480d0916fa60113cb089a7102c347762"/>
    <w:p>
      <w:pPr>
        <w:pStyle w:val="Bibliography"/>
      </w:pPr>
      <w:r>
        <w:t xml:space="preserve">Li, W. K. W. 1995.</w:t>
      </w:r>
      <w:r>
        <w:t xml:space="preserve"> </w:t>
      </w:r>
      <w:hyperlink r:id="rId15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3"/>
    <w:bookmarkStart w:id="154"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4"/>
    <w:bookmarkStart w:id="156"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5">
        <w:r>
          <w:rPr>
            <w:rStyle w:val="Hyperlink"/>
          </w:rPr>
          <w:t xml:space="preserve">10.1016/0146-6291(78)90623-9</w:t>
        </w:r>
      </w:hyperlink>
    </w:p>
    <w:bookmarkEnd w:id="156"/>
    <w:bookmarkStart w:id="158"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7">
        <w:r>
          <w:rPr>
            <w:rStyle w:val="Hyperlink"/>
          </w:rPr>
          <w:t xml:space="preserve">10.1029/JC093iC09p10749</w:t>
        </w:r>
      </w:hyperlink>
    </w:p>
    <w:bookmarkEnd w:id="158"/>
    <w:bookmarkStart w:id="160" w:name="ref-ortmannLysogenyLyticViral2002"/>
    <w:p>
      <w:pPr>
        <w:pStyle w:val="Bibliography"/>
      </w:pPr>
      <w:r>
        <w:t xml:space="preserve">Ortmann, A. C., J. E. Lawrence, and C. A. Suttle. 2002.</w:t>
      </w:r>
      <w:r>
        <w:t xml:space="preserve"> </w:t>
      </w:r>
      <w:hyperlink r:id="rId159">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0"/>
    <w:bookmarkStart w:id="162"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1">
        <w:r>
          <w:rPr>
            <w:rStyle w:val="Hyperlink"/>
          </w:rPr>
          <w:t xml:space="preserve">10.1023/A:1005936823310</w:t>
        </w:r>
      </w:hyperlink>
    </w:p>
    <w:bookmarkEnd w:id="162"/>
    <w:bookmarkStart w:id="16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3">
        <w:r>
          <w:rPr>
            <w:rStyle w:val="Hyperlink"/>
          </w:rPr>
          <w:t xml:space="preserve">10.4319/lom.2012.10.142</w:t>
        </w:r>
      </w:hyperlink>
    </w:p>
    <w:bookmarkEnd w:id="164"/>
    <w:bookmarkStart w:id="165"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5"/>
    <w:bookmarkStart w:id="166"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6"/>
    <w:bookmarkStart w:id="167" w:name="ref-serwayModernPhysics2004"/>
    <w:p>
      <w:pPr>
        <w:pStyle w:val="Bibliography"/>
      </w:pPr>
      <w:r>
        <w:t xml:space="preserve">Serway, R. A., C. J. Moses, and C. A. Moyer. 2004. Modern</w:t>
      </w:r>
      <w:r>
        <w:t xml:space="preserve"> </w:t>
      </w:r>
      <w:r>
        <w:t xml:space="preserve">Physics</w:t>
      </w:r>
      <w:r>
        <w:t xml:space="preserve">, Cengage Learning.</w:t>
      </w:r>
    </w:p>
    <w:bookmarkEnd w:id="167"/>
    <w:bookmarkStart w:id="169"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68">
        <w:r>
          <w:rPr>
            <w:rStyle w:val="Hyperlink"/>
          </w:rPr>
          <w:t xml:space="preserve">10.1371/journal.pone.0001341</w:t>
        </w:r>
      </w:hyperlink>
    </w:p>
    <w:bookmarkEnd w:id="169"/>
    <w:bookmarkStart w:id="171"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0">
        <w:r>
          <w:rPr>
            <w:rStyle w:val="Hyperlink"/>
          </w:rPr>
          <w:t xml:space="preserve">10.1073/pnas.2111300118</w:t>
        </w:r>
      </w:hyperlink>
    </w:p>
    <w:bookmarkEnd w:id="171"/>
    <w:bookmarkStart w:id="173"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72">
        <w:r>
          <w:rPr>
            <w:rStyle w:val="Hyperlink"/>
          </w:rPr>
          <w:t xml:space="preserve">10.5194/bg-15-6257-2018</w:t>
        </w:r>
      </w:hyperlink>
    </w:p>
    <w:bookmarkEnd w:id="173"/>
    <w:bookmarkStart w:id="175"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74">
        <w:r>
          <w:rPr>
            <w:rStyle w:val="Hyperlink"/>
          </w:rPr>
          <w:t xml:space="preserve">10.3390/cells9092030</w:t>
        </w:r>
      </w:hyperlink>
    </w:p>
    <w:bookmarkEnd w:id="175"/>
    <w:bookmarkStart w:id="17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6">
        <w:r>
          <w:rPr>
            <w:rStyle w:val="Hyperlink"/>
          </w:rPr>
          <w:t xml:space="preserve">10.1134/S0026261715020150</w:t>
        </w:r>
      </w:hyperlink>
    </w:p>
    <w:bookmarkEnd w:id="177"/>
    <w:bookmarkStart w:id="17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8">
        <w:r>
          <w:rPr>
            <w:rStyle w:val="Hyperlink"/>
          </w:rPr>
          <w:t xml:space="preserve">DOI: http://dx.doi.org/10.25607/OBP-1791</w:t>
        </w:r>
      </w:hyperlink>
    </w:p>
    <w:bookmarkEnd w:id="179"/>
    <w:bookmarkStart w:id="180"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80"/>
    <w:bookmarkStart w:id="182"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81">
        <w:r>
          <w:rPr>
            <w:rStyle w:val="Hyperlink"/>
          </w:rPr>
          <w:t xml:space="preserve">10.1111/j.1365-2427.2008.02119.x</w:t>
        </w:r>
      </w:hyperlink>
    </w:p>
    <w:bookmarkEnd w:id="182"/>
    <w:bookmarkStart w:id="184" w:name="ref-tortellUserGuideApplication2021"/>
    <w:p>
      <w:pPr>
        <w:pStyle w:val="Bibliography"/>
      </w:pPr>
      <w:r>
        <w:t xml:space="preserve">Tortell, P., D. J. Suggett, and S. W. Group156. 2021.</w:t>
      </w:r>
      <w:r>
        <w:t xml:space="preserve"> </w:t>
      </w:r>
      <w:hyperlink r:id="rId183">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4"/>
    <w:bookmarkStart w:id="18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5">
        <w:r>
          <w:rPr>
            <w:rStyle w:val="Hyperlink"/>
          </w:rPr>
          <w:t xml:space="preserve">10.1029/1999JC000308</w:t>
        </w:r>
      </w:hyperlink>
    </w:p>
    <w:bookmarkEnd w:id="186"/>
    <w:bookmarkStart w:id="188" w:name="ref-wickhamDataAnalysis2016"/>
    <w:p>
      <w:pPr>
        <w:pStyle w:val="Bibliography"/>
      </w:pPr>
      <w:r>
        <w:t xml:space="preserve">Wickham, H. 2016.</w:t>
      </w:r>
      <w:r>
        <w:t xml:space="preserve"> </w:t>
      </w:r>
      <w:hyperlink r:id="rId18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8"/>
    <w:bookmarkStart w:id="19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9">
        <w:r>
          <w:rPr>
            <w:rStyle w:val="Hyperlink"/>
          </w:rPr>
          <w:t xml:space="preserve">10.1016/j.rse.2020.111704</w:t>
        </w:r>
      </w:hyperlink>
    </w:p>
    <w:bookmarkEnd w:id="190"/>
    <w:bookmarkStart w:id="192"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91">
        <w:r>
          <w:rPr>
            <w:rStyle w:val="Hyperlink"/>
          </w:rPr>
          <w:t xml:space="preserve">10.1016/j.bbabio.2017.03.003</w:t>
        </w:r>
      </w:hyperlink>
    </w:p>
    <w:bookmarkEnd w:id="192"/>
    <w:bookmarkEnd w:id="193"/>
    <w:bookmarkEnd w:id="19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5" Target="https://doi.org/10.1007/s10812-020-00944-0" TargetMode="External" /><Relationship Type="http://schemas.openxmlformats.org/officeDocument/2006/relationships/hyperlink" Id="rId155"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61"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7"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41" Target="https://doi.org/10.1038/nclimate3147" TargetMode="External" /><Relationship Type="http://schemas.openxmlformats.org/officeDocument/2006/relationships/hyperlink" Id="rId137" Target="https://doi.org/10.1038/s41559-020-01330-x" TargetMode="External" /><Relationship Type="http://schemas.openxmlformats.org/officeDocument/2006/relationships/hyperlink" Id="rId127"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9"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23" Target="https://doi.org/10.1126/science.281.5374.237" TargetMode="External" /><Relationship Type="http://schemas.openxmlformats.org/officeDocument/2006/relationships/hyperlink" Id="rId121"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7"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06" Target="https://doi.org/10.3389/fmars.2019.00319" TargetMode="External" /><Relationship Type="http://schemas.openxmlformats.org/officeDocument/2006/relationships/hyperlink" Id="rId174"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63" Target="https://doi.org/10.4319/lom.2012.10.142" TargetMode="External" /><Relationship Type="http://schemas.openxmlformats.org/officeDocument/2006/relationships/hyperlink" Id="rId172"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9"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5" Target="https://doi.org/10.1007/s10812-020-00944-0" TargetMode="External" /><Relationship Type="http://schemas.openxmlformats.org/officeDocument/2006/relationships/hyperlink" Id="rId155"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61"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7"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41" Target="https://doi.org/10.1038/nclimate3147" TargetMode="External" /><Relationship Type="http://schemas.openxmlformats.org/officeDocument/2006/relationships/hyperlink" Id="rId137" Target="https://doi.org/10.1038/s41559-020-01330-x" TargetMode="External" /><Relationship Type="http://schemas.openxmlformats.org/officeDocument/2006/relationships/hyperlink" Id="rId127"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9"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23" Target="https://doi.org/10.1126/science.281.5374.237" TargetMode="External" /><Relationship Type="http://schemas.openxmlformats.org/officeDocument/2006/relationships/hyperlink" Id="rId121"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7"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06" Target="https://doi.org/10.3389/fmars.2019.00319" TargetMode="External" /><Relationship Type="http://schemas.openxmlformats.org/officeDocument/2006/relationships/hyperlink" Id="rId174"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63" Target="https://doi.org/10.4319/lom.2012.10.142" TargetMode="External" /><Relationship Type="http://schemas.openxmlformats.org/officeDocument/2006/relationships/hyperlink" Id="rId172"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9"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2024-03-21T21:52:21Z</dcterms:created>
  <dcterms:modified xsi:type="dcterms:W3CDTF">2024-03-21T21:52:21Z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